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3D14" w14:textId="202E69F0" w:rsidR="00520937" w:rsidRDefault="009A3149" w:rsidP="009A3149">
      <w:pPr>
        <w:tabs>
          <w:tab w:val="left" w:pos="-567"/>
        </w:tabs>
        <w:spacing w:after="0"/>
        <w:ind w:left="-567" w:right="-516"/>
        <w:jc w:val="center"/>
        <w:rPr>
          <w:rFonts w:ascii="Arial" w:eastAsia="Arial" w:hAnsi="Arial" w:cs="Arial"/>
          <w:b/>
          <w:sz w:val="24"/>
          <w:szCs w:val="24"/>
        </w:rPr>
      </w:pPr>
      <w:r w:rsidRPr="003A5FD5">
        <w:rPr>
          <w:rFonts w:ascii="Arial" w:eastAsia="Arial" w:hAnsi="Arial" w:cs="Arial"/>
          <w:b/>
          <w:sz w:val="24"/>
          <w:szCs w:val="24"/>
        </w:rPr>
        <w:t>INVITACIÓN ABIERTA No. 00</w:t>
      </w:r>
      <w:r w:rsidR="00070BA1">
        <w:rPr>
          <w:rFonts w:ascii="Arial" w:eastAsia="Arial" w:hAnsi="Arial" w:cs="Arial"/>
          <w:b/>
          <w:sz w:val="24"/>
          <w:szCs w:val="24"/>
        </w:rPr>
        <w:t>2</w:t>
      </w:r>
      <w:r w:rsidRPr="003A5FD5">
        <w:rPr>
          <w:rFonts w:ascii="Arial" w:eastAsia="Arial" w:hAnsi="Arial" w:cs="Arial"/>
          <w:b/>
          <w:sz w:val="24"/>
          <w:szCs w:val="24"/>
        </w:rPr>
        <w:t xml:space="preserve"> DE 202</w:t>
      </w:r>
      <w:r>
        <w:rPr>
          <w:rFonts w:ascii="Arial" w:eastAsia="Arial" w:hAnsi="Arial" w:cs="Arial"/>
          <w:b/>
          <w:sz w:val="24"/>
          <w:szCs w:val="24"/>
        </w:rPr>
        <w:t>4</w:t>
      </w:r>
    </w:p>
    <w:p w14:paraId="70944713" w14:textId="744E42D9" w:rsidR="009A3149" w:rsidRDefault="009A3149" w:rsidP="009E7B4D">
      <w:pPr>
        <w:tabs>
          <w:tab w:val="left" w:pos="-567"/>
        </w:tabs>
        <w:spacing w:after="0"/>
        <w:ind w:left="-567" w:right="-5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 DE</w:t>
      </w:r>
      <w:r w:rsidR="00E7368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INQUIETUDES Y RESPUESTAS</w:t>
      </w:r>
    </w:p>
    <w:p w14:paraId="17C8BA28" w14:textId="6D65E536" w:rsidR="009E7B4D" w:rsidRPr="003A5FD5" w:rsidRDefault="00E73680" w:rsidP="009E7B4D">
      <w:pPr>
        <w:tabs>
          <w:tab w:val="left" w:pos="-567"/>
        </w:tabs>
        <w:spacing w:after="0"/>
        <w:ind w:left="-567" w:right="-5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 </w:t>
      </w:r>
      <w:r w:rsidR="009E7B4D">
        <w:rPr>
          <w:rFonts w:ascii="Arial" w:eastAsia="Arial" w:hAnsi="Arial" w:cs="Arial"/>
          <w:b/>
          <w:sz w:val="24"/>
          <w:szCs w:val="24"/>
        </w:rPr>
        <w:t>OBSERVACIONES</w:t>
      </w:r>
      <w:r w:rsidR="00FD43F0">
        <w:rPr>
          <w:rFonts w:ascii="Arial" w:eastAsia="Arial" w:hAnsi="Arial" w:cs="Arial"/>
          <w:b/>
          <w:sz w:val="24"/>
          <w:szCs w:val="24"/>
        </w:rPr>
        <w:t xml:space="preserve"> No. 3</w:t>
      </w:r>
    </w:p>
    <w:p w14:paraId="057F7DB4" w14:textId="77777777" w:rsidR="00E73680" w:rsidRDefault="00E73680" w:rsidP="00E73680">
      <w:pPr>
        <w:tabs>
          <w:tab w:val="left" w:pos="-567"/>
        </w:tabs>
        <w:spacing w:after="0"/>
        <w:ind w:right="-516"/>
        <w:jc w:val="both"/>
        <w:rPr>
          <w:rFonts w:ascii="Arial" w:eastAsia="Arial" w:hAnsi="Arial" w:cs="Arial"/>
          <w:sz w:val="24"/>
          <w:szCs w:val="24"/>
        </w:rPr>
      </w:pPr>
    </w:p>
    <w:p w14:paraId="7F58916E" w14:textId="2B0E7477" w:rsidR="006A1D27" w:rsidRDefault="009C5110" w:rsidP="006A1D27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medio del presente documentos se atienden las</w:t>
      </w:r>
      <w:r w:rsidR="00E73680">
        <w:rPr>
          <w:rFonts w:ascii="Arial" w:eastAsia="Arial" w:hAnsi="Arial" w:cs="Arial"/>
          <w:sz w:val="24"/>
          <w:szCs w:val="24"/>
        </w:rPr>
        <w:t xml:space="preserve"> observaciones escritas al correo electrónico </w:t>
      </w:r>
      <w:hyperlink r:id="rId8" w:history="1">
        <w:r w:rsidR="006D7A15" w:rsidRPr="00111BD7">
          <w:rPr>
            <w:rStyle w:val="Hipervnculo"/>
            <w:rFonts w:ascii="Arial" w:eastAsia="Arial" w:hAnsi="Arial" w:cs="Arial"/>
            <w:sz w:val="24"/>
            <w:szCs w:val="24"/>
          </w:rPr>
          <w:t>convocatoriaabierta002@colombiacrea.org</w:t>
        </w:r>
      </w:hyperlink>
      <w:r w:rsidR="00E73680">
        <w:rPr>
          <w:rFonts w:ascii="Arial" w:eastAsia="Arial" w:hAnsi="Arial" w:cs="Arial"/>
          <w:sz w:val="24"/>
          <w:szCs w:val="24"/>
        </w:rPr>
        <w:t>, dentro del proceso de Invitación Abierta No. 00</w:t>
      </w:r>
      <w:r w:rsidR="00566999">
        <w:rPr>
          <w:rFonts w:ascii="Arial" w:eastAsia="Arial" w:hAnsi="Arial" w:cs="Arial"/>
          <w:sz w:val="24"/>
          <w:szCs w:val="24"/>
        </w:rPr>
        <w:t>2</w:t>
      </w:r>
      <w:r w:rsidR="00E73680">
        <w:rPr>
          <w:rFonts w:ascii="Arial" w:eastAsia="Arial" w:hAnsi="Arial" w:cs="Arial"/>
          <w:sz w:val="24"/>
          <w:szCs w:val="24"/>
        </w:rPr>
        <w:t xml:space="preserve"> de 2024, </w:t>
      </w:r>
      <w:r w:rsidR="0088005A" w:rsidRPr="003A5FD5">
        <w:rPr>
          <w:rFonts w:ascii="Arial" w:eastAsia="Arial" w:hAnsi="Arial" w:cs="Arial"/>
          <w:sz w:val="24"/>
          <w:szCs w:val="24"/>
        </w:rPr>
        <w:t>conforme al cronograma publicado en la página web de la Corporación</w:t>
      </w:r>
      <w:r w:rsidR="005B7F13">
        <w:rPr>
          <w:rFonts w:ascii="Arial" w:eastAsia="Arial" w:hAnsi="Arial" w:cs="Arial"/>
          <w:sz w:val="24"/>
          <w:szCs w:val="24"/>
        </w:rPr>
        <w:t xml:space="preserve">. </w:t>
      </w:r>
    </w:p>
    <w:p w14:paraId="6E9E29E6" w14:textId="77777777" w:rsidR="006A1D27" w:rsidRDefault="006A1D27" w:rsidP="006A1D27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62CDDB2E" w14:textId="627A79D6" w:rsidR="006A1D27" w:rsidRPr="006A1D27" w:rsidRDefault="006A1D27" w:rsidP="006A1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A1D27">
        <w:rPr>
          <w:rFonts w:ascii="Arial" w:eastAsia="Arial" w:hAnsi="Arial" w:cs="Arial"/>
          <w:b/>
          <w:bCs/>
          <w:sz w:val="24"/>
          <w:szCs w:val="24"/>
        </w:rPr>
        <w:t xml:space="preserve">1.- </w:t>
      </w:r>
      <w:r w:rsidRPr="006A1D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NT VIAJES Y TURISMO SAS </w:t>
      </w:r>
      <w:r w:rsidRPr="006A1D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6A1D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JOHANA ALVARINO </w:t>
      </w:r>
      <w:r w:rsidRPr="006A1D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NARVÁEZ</w:t>
      </w:r>
    </w:p>
    <w:p w14:paraId="56A0600D" w14:textId="77777777" w:rsidR="006A1D27" w:rsidRDefault="006A1D27" w:rsidP="00E73680">
      <w:pPr>
        <w:tabs>
          <w:tab w:val="left" w:pos="-567"/>
        </w:tabs>
        <w:spacing w:after="0"/>
        <w:ind w:left="-567" w:right="-516"/>
        <w:jc w:val="center"/>
        <w:rPr>
          <w:rFonts w:ascii="Arial" w:eastAsia="Arial" w:hAnsi="Arial" w:cs="Arial"/>
          <w:sz w:val="24"/>
          <w:szCs w:val="24"/>
        </w:rPr>
      </w:pPr>
    </w:p>
    <w:p w14:paraId="583306EC" w14:textId="191F9139" w:rsidR="006A1D27" w:rsidRDefault="006A1D27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  <w:r w:rsidRPr="006A1D27">
        <w:rPr>
          <w:rFonts w:ascii="Arial" w:eastAsia="Arial" w:hAnsi="Arial" w:cs="Arial"/>
          <w:b/>
          <w:bCs/>
          <w:sz w:val="24"/>
          <w:szCs w:val="24"/>
        </w:rPr>
        <w:t>OBSERVACIÓN No. 1</w:t>
      </w:r>
    </w:p>
    <w:p w14:paraId="5302B725" w14:textId="77777777" w:rsidR="006A1D27" w:rsidRDefault="006A1D27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666514C5" w14:textId="7FCEA004" w:rsidR="006A1D27" w:rsidRDefault="006A1D27" w:rsidP="006A1D27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“</w:t>
      </w:r>
      <w:r w:rsidRPr="006A1D27">
        <w:rPr>
          <w:rFonts w:ascii="Arial" w:eastAsia="Arial" w:hAnsi="Arial" w:cs="Arial"/>
          <w:i/>
          <w:iCs/>
          <w:sz w:val="24"/>
          <w:szCs w:val="24"/>
        </w:rPr>
        <w:t xml:space="preserve">En aras de garantizar la pluralidad de oferentes y proporcionar un escenario transparente para la selección del contratista del presente proceso de selección, solicitamos amablemente a la entidad considerar la eliminación de la solicitud establecida en el apartado 2.2.2 REQUISITOS </w:t>
      </w:r>
      <w:r w:rsidRPr="006A1D27">
        <w:rPr>
          <w:rFonts w:ascii="Arial" w:eastAsia="Arial" w:hAnsi="Arial" w:cs="Arial"/>
          <w:i/>
          <w:iCs/>
          <w:sz w:val="24"/>
          <w:szCs w:val="24"/>
        </w:rPr>
        <w:t>TÉCNICOS</w:t>
      </w:r>
      <w:r w:rsidRPr="006A1D2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6A1D27">
        <w:rPr>
          <w:rFonts w:ascii="Arial" w:eastAsia="Arial" w:hAnsi="Arial" w:cs="Arial"/>
          <w:i/>
          <w:iCs/>
          <w:sz w:val="24"/>
          <w:szCs w:val="24"/>
        </w:rPr>
        <w:t>MÍNIMOS</w:t>
      </w:r>
      <w:r w:rsidRPr="006A1D27">
        <w:rPr>
          <w:rFonts w:ascii="Arial" w:eastAsia="Arial" w:hAnsi="Arial" w:cs="Arial"/>
          <w:i/>
          <w:iCs/>
          <w:sz w:val="24"/>
          <w:szCs w:val="24"/>
        </w:rPr>
        <w:t>, en el numeral 2.2.2.3 LICENCIA IATA, que considera que “El proponente deberá acreditar, a través de una certificación, su licencia de funcionamiento vigente de la Asociación Internacional de Transporte Aéreo IATA a la fecha de cierre del presente proceso, y deberá mantenerse vigente durante el plazo de ejecución del contrato.” Lo anterior condiciona la participación de agencias de viajes que no sean IATA pero que tienen plena capacidad técnica, operativa y financiera para llevar a cabo un contrato de esta cuantía</w:t>
      </w:r>
      <w:r>
        <w:rPr>
          <w:rFonts w:ascii="Arial" w:eastAsia="Arial" w:hAnsi="Arial" w:cs="Arial"/>
          <w:i/>
          <w:iCs/>
          <w:sz w:val="24"/>
          <w:szCs w:val="24"/>
        </w:rPr>
        <w:t>”</w:t>
      </w:r>
      <w:r w:rsidRPr="006A1D27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39F72A78" w14:textId="77777777" w:rsidR="006A1D27" w:rsidRDefault="006A1D27" w:rsidP="006A1D27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8C2145F" w14:textId="7D8C3162" w:rsidR="006A1D27" w:rsidRPr="006A1D27" w:rsidRDefault="006A1D27" w:rsidP="006A1D27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A1D27">
        <w:rPr>
          <w:rFonts w:ascii="Arial" w:eastAsia="Arial" w:hAnsi="Arial" w:cs="Arial"/>
          <w:b/>
          <w:bCs/>
          <w:sz w:val="24"/>
          <w:szCs w:val="24"/>
        </w:rPr>
        <w:t xml:space="preserve">RESPUESTA: </w:t>
      </w:r>
    </w:p>
    <w:p w14:paraId="37E07A3E" w14:textId="77777777" w:rsidR="006A1D27" w:rsidRDefault="006A1D27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784DE148" w14:textId="30BC2235" w:rsidR="00B967E0" w:rsidRDefault="00B967E0" w:rsidP="00B967E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relación a la observación planteada COCREA de manera atenta responde en los siguientes términos: </w:t>
      </w:r>
    </w:p>
    <w:p w14:paraId="0B2422D7" w14:textId="77777777" w:rsidR="00B967E0" w:rsidRDefault="00B967E0" w:rsidP="00B967E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6E622739" w14:textId="0016DCD4" w:rsidR="00B967E0" w:rsidRDefault="00B967E0" w:rsidP="00B967E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1.- </w:t>
      </w:r>
      <w:r w:rsidR="0068554E">
        <w:rPr>
          <w:rFonts w:ascii="Arial" w:eastAsia="Arial" w:hAnsi="Arial" w:cs="Arial"/>
          <w:sz w:val="24"/>
          <w:szCs w:val="24"/>
        </w:rPr>
        <w:t xml:space="preserve">COCREA en este proceso de Invitación Abierta, el cual es adelantado de conformidad con el régimen de Derecho Privado que le aplica y atendiendo lo establecido en su Manual de Contratación, así como en todos los demás procesos y procedimientos contractuales que desarrolla, los realiza con absoluta transparencia y de manera pública, tal y como ha sido evidenciado por el interesado en el proceso de contratación a través de su página web. </w:t>
      </w:r>
    </w:p>
    <w:p w14:paraId="7184644A" w14:textId="77777777" w:rsidR="0068554E" w:rsidRDefault="0068554E" w:rsidP="00B967E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7E017F31" w14:textId="411B2114" w:rsidR="0068554E" w:rsidRDefault="0068554E" w:rsidP="00B967E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2.- Frente a la exigencia de la Licencia IATA como requisito técnico habilitante, considera que es un requisito </w:t>
      </w:r>
      <w:r w:rsidR="002A7C7C">
        <w:rPr>
          <w:rFonts w:ascii="Arial" w:eastAsia="Arial" w:hAnsi="Arial" w:cs="Arial"/>
          <w:sz w:val="24"/>
          <w:szCs w:val="24"/>
        </w:rPr>
        <w:t xml:space="preserve">no solo </w:t>
      </w:r>
      <w:r>
        <w:rPr>
          <w:rFonts w:ascii="Arial" w:eastAsia="Arial" w:hAnsi="Arial" w:cs="Arial"/>
          <w:sz w:val="24"/>
          <w:szCs w:val="24"/>
        </w:rPr>
        <w:t xml:space="preserve">transparente </w:t>
      </w:r>
      <w:r w:rsidR="002A7C7C">
        <w:rPr>
          <w:rFonts w:ascii="Arial" w:eastAsia="Arial" w:hAnsi="Arial" w:cs="Arial"/>
          <w:sz w:val="24"/>
          <w:szCs w:val="24"/>
        </w:rPr>
        <w:t xml:space="preserve">pues es </w:t>
      </w:r>
      <w:r>
        <w:rPr>
          <w:rFonts w:ascii="Arial" w:eastAsia="Arial" w:hAnsi="Arial" w:cs="Arial"/>
          <w:sz w:val="24"/>
          <w:szCs w:val="24"/>
        </w:rPr>
        <w:t>una condición prestablecida para</w:t>
      </w:r>
      <w:r w:rsidR="002A7C7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el conocimiento público de todos los interesados a participar en la Invitación Abierta No. 002 de </w:t>
      </w:r>
      <w:r w:rsidR="00993E85">
        <w:rPr>
          <w:rFonts w:ascii="Arial" w:eastAsia="Arial" w:hAnsi="Arial" w:cs="Arial"/>
          <w:sz w:val="24"/>
          <w:szCs w:val="24"/>
        </w:rPr>
        <w:t>2024, sino</w:t>
      </w:r>
      <w:r w:rsidR="002A7C7C">
        <w:rPr>
          <w:rFonts w:ascii="Arial" w:eastAsia="Arial" w:hAnsi="Arial" w:cs="Arial"/>
          <w:sz w:val="24"/>
          <w:szCs w:val="24"/>
        </w:rPr>
        <w:t xml:space="preserve"> </w:t>
      </w:r>
      <w:r w:rsidR="002A7C7C">
        <w:rPr>
          <w:rFonts w:ascii="Arial" w:eastAsia="Arial" w:hAnsi="Arial" w:cs="Arial"/>
          <w:sz w:val="24"/>
          <w:szCs w:val="24"/>
        </w:rPr>
        <w:lastRenderedPageBreak/>
        <w:t>técnicamente necesario, pues de acuerdo con el mercado, la licencia IATA conlleva entre otros los siguientes beneficios</w:t>
      </w:r>
      <w:r w:rsidR="002A7C7C">
        <w:rPr>
          <w:rStyle w:val="Refdenotaalpie"/>
          <w:rFonts w:ascii="Arial" w:eastAsia="Arial" w:hAnsi="Arial" w:cs="Arial"/>
          <w:sz w:val="24"/>
          <w:szCs w:val="24"/>
        </w:rPr>
        <w:footnoteReference w:id="1"/>
      </w:r>
      <w:r w:rsidR="002A7C7C">
        <w:rPr>
          <w:rFonts w:ascii="Arial" w:eastAsia="Arial" w:hAnsi="Arial" w:cs="Arial"/>
          <w:sz w:val="24"/>
          <w:szCs w:val="24"/>
        </w:rPr>
        <w:t xml:space="preserve">: </w:t>
      </w:r>
    </w:p>
    <w:p w14:paraId="1045F934" w14:textId="77777777" w:rsidR="002A7C7C" w:rsidRDefault="002A7C7C" w:rsidP="00B967E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312BE429" w14:textId="049C76C6" w:rsidR="002A7C7C" w:rsidRDefault="002A7C7C" w:rsidP="00B967E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“</w:t>
      </w:r>
      <w:r w:rsidRPr="002A7C7C">
        <w:rPr>
          <w:rFonts w:ascii="Arial" w:eastAsia="Arial" w:hAnsi="Arial" w:cs="Arial"/>
          <w:i/>
          <w:iCs/>
          <w:sz w:val="24"/>
          <w:szCs w:val="24"/>
        </w:rPr>
        <w:t>Las ventajas de ser un agente acreditado IATA son las siguientes: el acceso a aproximadamente 250 aerolíneas miembro de IATA utilizando un contrato de agencia estándar. La autorización para vender billetes nacionales o internacionales en nombre de las aerolíneas. El acceso al Plan de facturación y pago (</w:t>
      </w:r>
      <w:proofErr w:type="spellStart"/>
      <w:r w:rsidRPr="002A7C7C">
        <w:rPr>
          <w:rFonts w:ascii="Arial" w:eastAsia="Arial" w:hAnsi="Arial" w:cs="Arial"/>
          <w:i/>
          <w:iCs/>
          <w:sz w:val="24"/>
          <w:szCs w:val="24"/>
        </w:rPr>
        <w:t>Billing</w:t>
      </w:r>
      <w:proofErr w:type="spellEnd"/>
      <w:r w:rsidRPr="002A7C7C">
        <w:rPr>
          <w:rFonts w:ascii="Arial" w:eastAsia="Arial" w:hAnsi="Arial" w:cs="Arial"/>
          <w:i/>
          <w:iCs/>
          <w:sz w:val="24"/>
          <w:szCs w:val="24"/>
        </w:rPr>
        <w:t xml:space="preserve"> and </w:t>
      </w:r>
      <w:proofErr w:type="spellStart"/>
      <w:r w:rsidRPr="002A7C7C">
        <w:rPr>
          <w:rFonts w:ascii="Arial" w:eastAsia="Arial" w:hAnsi="Arial" w:cs="Arial"/>
          <w:i/>
          <w:iCs/>
          <w:sz w:val="24"/>
          <w:szCs w:val="24"/>
        </w:rPr>
        <w:t>Settlement</w:t>
      </w:r>
      <w:proofErr w:type="spellEnd"/>
      <w:r w:rsidRPr="002A7C7C">
        <w:rPr>
          <w:rFonts w:ascii="Arial" w:eastAsia="Arial" w:hAnsi="Arial" w:cs="Arial"/>
          <w:i/>
          <w:iCs/>
          <w:sz w:val="24"/>
          <w:szCs w:val="24"/>
        </w:rPr>
        <w:t xml:space="preserve"> Plan, o </w:t>
      </w:r>
      <w:proofErr w:type="spellStart"/>
      <w:r w:rsidRPr="002A7C7C">
        <w:rPr>
          <w:rFonts w:ascii="Arial" w:eastAsia="Arial" w:hAnsi="Arial" w:cs="Arial"/>
          <w:i/>
          <w:iCs/>
          <w:sz w:val="24"/>
          <w:szCs w:val="24"/>
        </w:rPr>
        <w:t>BSP</w:t>
      </w:r>
      <w:proofErr w:type="spellEnd"/>
      <w:r w:rsidRPr="002A7C7C">
        <w:rPr>
          <w:rFonts w:ascii="Arial" w:eastAsia="Arial" w:hAnsi="Arial" w:cs="Arial"/>
          <w:i/>
          <w:iCs/>
          <w:sz w:val="24"/>
          <w:szCs w:val="24"/>
        </w:rPr>
        <w:t xml:space="preserve">) de IATA y a Enlace </w:t>
      </w:r>
      <w:proofErr w:type="spellStart"/>
      <w:r w:rsidRPr="002A7C7C">
        <w:rPr>
          <w:rFonts w:ascii="Arial" w:eastAsia="Arial" w:hAnsi="Arial" w:cs="Arial"/>
          <w:i/>
          <w:iCs/>
          <w:sz w:val="24"/>
          <w:szCs w:val="24"/>
        </w:rPr>
        <w:t>BSP</w:t>
      </w:r>
      <w:proofErr w:type="spellEnd"/>
      <w:r w:rsidRPr="002A7C7C">
        <w:rPr>
          <w:rFonts w:ascii="Arial" w:eastAsia="Arial" w:hAnsi="Arial" w:cs="Arial"/>
          <w:i/>
          <w:iCs/>
          <w:sz w:val="24"/>
          <w:szCs w:val="24"/>
        </w:rPr>
        <w:t xml:space="preserve"> (</w:t>
      </w:r>
      <w:proofErr w:type="spellStart"/>
      <w:r w:rsidRPr="002A7C7C">
        <w:rPr>
          <w:rFonts w:ascii="Arial" w:eastAsia="Arial" w:hAnsi="Arial" w:cs="Arial"/>
          <w:i/>
          <w:iCs/>
          <w:sz w:val="24"/>
          <w:szCs w:val="24"/>
        </w:rPr>
        <w:t>BSPlink</w:t>
      </w:r>
      <w:proofErr w:type="spellEnd"/>
      <w:r w:rsidRPr="002A7C7C">
        <w:rPr>
          <w:rFonts w:ascii="Arial" w:eastAsia="Arial" w:hAnsi="Arial" w:cs="Arial"/>
          <w:i/>
          <w:iCs/>
          <w:sz w:val="24"/>
          <w:szCs w:val="24"/>
        </w:rPr>
        <w:t>). Juntos, proporcionan una interfaz estándar única de facturación y pago entre el agente y múltiples aerolíneas y proveedores de transporte. El reconocimiento mundial del sector de viajes gracias a un código numérico IATA que constituye un identificador único para el agente. La confianza internacional de los consumidores gracias a que los agentes de viaje IATA cumplen unos estándares del sector identificables por el logotipo y la marca IATA, que se exhibe en las instalaciones del agente de viajes, así como en sus sitios web. Proporciona unos procedimientos estándar que garantizan la aplicación de unas normas justas y uniformes en todos los tratos con las aerolíneas. Para obtener más información sobre los criterios para convertirse en agente IATA acreditado en su país y los formularios necesarios, consulte el material de nuestras páginas web de acreditación</w:t>
      </w:r>
      <w:r>
        <w:rPr>
          <w:rFonts w:ascii="Arial" w:eastAsia="Arial" w:hAnsi="Arial" w:cs="Arial"/>
          <w:i/>
          <w:iCs/>
          <w:sz w:val="24"/>
          <w:szCs w:val="24"/>
        </w:rPr>
        <w:t>”</w:t>
      </w:r>
      <w:r w:rsidRPr="002A7C7C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6FBF8E62" w14:textId="77777777" w:rsidR="002A7C7C" w:rsidRDefault="002A7C7C" w:rsidP="00B967E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E3BE150" w14:textId="0B6A2D81" w:rsidR="00EE4B70" w:rsidRDefault="00EE4B70" w:rsidP="00EE4B7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este sentido, u</w:t>
      </w:r>
      <w:r w:rsidRPr="00EE4B70">
        <w:rPr>
          <w:rFonts w:ascii="Arial" w:eastAsia="Arial" w:hAnsi="Arial" w:cs="Arial"/>
          <w:sz w:val="24"/>
          <w:szCs w:val="24"/>
        </w:rPr>
        <w:t>na Agencia de Viajes IATA cumple los estándares internacionales y garantiza al momento de comprar su boleto que está negociando con una empresa seria que aplicará las normas justas y uniformes en todas sus compras.</w:t>
      </w:r>
    </w:p>
    <w:p w14:paraId="22F91E7D" w14:textId="77777777" w:rsidR="00EE4B70" w:rsidRDefault="00EE4B70" w:rsidP="00EE4B7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7AAC3A3C" w14:textId="32C2AAE5" w:rsidR="00EE4B70" w:rsidRDefault="00EE4B70" w:rsidP="00EE4B7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3.- Revisados procesos contractuales de idéntica naturaleza</w:t>
      </w:r>
      <w:r w:rsidR="0018538F">
        <w:rPr>
          <w:rStyle w:val="Refdenotaalpie"/>
          <w:rFonts w:ascii="Arial" w:eastAsia="Arial" w:hAnsi="Arial" w:cs="Arial"/>
          <w:sz w:val="24"/>
          <w:szCs w:val="24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, así como de naturaleza pública, por las razones expuestas incluyen este requisito técnico como condición para la participación y adjudicación de los contratos de suministro de pasajes aéreos, contando con </w:t>
      </w:r>
      <w:r w:rsidR="00CF74B1">
        <w:rPr>
          <w:rFonts w:ascii="Arial" w:eastAsia="Arial" w:hAnsi="Arial" w:cs="Arial"/>
          <w:sz w:val="24"/>
          <w:szCs w:val="24"/>
        </w:rPr>
        <w:t>pluralidad</w:t>
      </w:r>
      <w:r>
        <w:rPr>
          <w:rFonts w:ascii="Arial" w:eastAsia="Arial" w:hAnsi="Arial" w:cs="Arial"/>
          <w:sz w:val="24"/>
          <w:szCs w:val="24"/>
        </w:rPr>
        <w:t xml:space="preserve"> de oferentes </w:t>
      </w:r>
      <w:r w:rsidR="00CF74B1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 xml:space="preserve">en procesos con cuantías iguales o superiores a las de la Invitación Abierta No. 002 de 2024. </w:t>
      </w:r>
    </w:p>
    <w:p w14:paraId="727C30BF" w14:textId="77777777" w:rsidR="00EE4B70" w:rsidRDefault="00EE4B70" w:rsidP="00EE4B70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5A4B6568" w14:textId="1408BFED" w:rsidR="006A1D27" w:rsidRDefault="00EE4B70" w:rsidP="0018538F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los anteriores motivos y por las ventajas </w:t>
      </w:r>
      <w:r w:rsidR="0018538F">
        <w:rPr>
          <w:rFonts w:ascii="Arial" w:eastAsia="Arial" w:hAnsi="Arial" w:cs="Arial"/>
          <w:sz w:val="24"/>
          <w:szCs w:val="24"/>
        </w:rPr>
        <w:t xml:space="preserve">e importancia de esta certificación para la ejecución del contrato a celebrar en el marco del Festival Internacional de Artes Vivas – FIAV BOGOTÁ 2024, se mantiene la exigencia de este requisito técnico habilitante en los términos y condiciones de la Invitación Abierta No. 002 de 2024. </w:t>
      </w:r>
    </w:p>
    <w:p w14:paraId="597094CC" w14:textId="77777777" w:rsidR="0018538F" w:rsidRPr="00EE4B70" w:rsidRDefault="0018538F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sz w:val="24"/>
          <w:szCs w:val="24"/>
        </w:rPr>
      </w:pPr>
    </w:p>
    <w:p w14:paraId="6422D21F" w14:textId="77777777" w:rsidR="00CF74B1" w:rsidRDefault="00CF74B1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164ECA18" w14:textId="7122EE74" w:rsidR="006A1D27" w:rsidRDefault="006A1D27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OBSERVACIÓN No. 2</w:t>
      </w:r>
    </w:p>
    <w:p w14:paraId="16713D0A" w14:textId="77777777" w:rsidR="006A1D27" w:rsidRDefault="006A1D27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3456EFD4" w14:textId="28443458" w:rsidR="006A536E" w:rsidRPr="006A536E" w:rsidRDefault="006A536E" w:rsidP="006A536E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6A536E">
        <w:rPr>
          <w:rFonts w:ascii="Arial" w:eastAsia="Arial" w:hAnsi="Arial" w:cs="Arial"/>
          <w:i/>
          <w:iCs/>
          <w:sz w:val="24"/>
          <w:szCs w:val="24"/>
        </w:rPr>
        <w:t>“</w:t>
      </w:r>
      <w:r w:rsidRPr="006A536E">
        <w:rPr>
          <w:rFonts w:ascii="Arial" w:eastAsia="Arial" w:hAnsi="Arial" w:cs="Arial"/>
          <w:i/>
          <w:iCs/>
          <w:sz w:val="24"/>
          <w:szCs w:val="24"/>
        </w:rPr>
        <w:t>Me dirijo a ustedes en mi calidad de representante legal de la agencia de viajes NT VIAJES Y TURISMO SAS, para solicitarles la eliminación de la solicitud de licencia IATA para el presente proceso de selección. Además, solicitamos la revisión y eliminación del requisito que estipula que el proponente debe tener al menos 10 años de constitución para participar en el proceso de selección abreviada.</w:t>
      </w:r>
    </w:p>
    <w:p w14:paraId="57E1237A" w14:textId="77777777" w:rsidR="006A536E" w:rsidRPr="006A536E" w:rsidRDefault="006A536E" w:rsidP="006A536E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063B56BC" w14:textId="6762E467" w:rsidR="006A536E" w:rsidRPr="006A536E" w:rsidRDefault="006A536E" w:rsidP="006A536E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6A536E">
        <w:rPr>
          <w:rFonts w:ascii="Arial" w:eastAsia="Arial" w:hAnsi="Arial" w:cs="Arial"/>
          <w:i/>
          <w:iCs/>
          <w:sz w:val="24"/>
          <w:szCs w:val="24"/>
        </w:rPr>
        <w:t>El motivo de nuestra solicitud es garantizar una mayor transparencia y equidad en el proceso de selección. Consideramos que la eliminación del requisito de los 10 años de constitución permitirá una participación más inclusiva y equitativa, sin que la antigüedad sea un factor excluyente que pueda limitar la competencia de entidades potencialmente competentes y con la capacidad necesaria para cumplir con los estándares requeridos.</w:t>
      </w:r>
    </w:p>
    <w:p w14:paraId="6740949E" w14:textId="77777777" w:rsidR="006A536E" w:rsidRPr="006A536E" w:rsidRDefault="006A536E" w:rsidP="006A536E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84A1DFF" w14:textId="335E5C27" w:rsidR="006A1D27" w:rsidRPr="006A536E" w:rsidRDefault="006A536E" w:rsidP="006A536E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6A536E">
        <w:rPr>
          <w:rFonts w:ascii="Arial" w:eastAsia="Arial" w:hAnsi="Arial" w:cs="Arial"/>
          <w:i/>
          <w:iCs/>
          <w:sz w:val="24"/>
          <w:szCs w:val="24"/>
        </w:rPr>
        <w:t>Estamos comprometidos con la transparencia y la equidad en todos los procesos y confiamos en que la modificación de estos requisitos contribuirá a una selección más justa y representativa</w:t>
      </w:r>
      <w:r w:rsidRPr="006A536E">
        <w:rPr>
          <w:rFonts w:ascii="Arial" w:eastAsia="Arial" w:hAnsi="Arial" w:cs="Arial"/>
          <w:i/>
          <w:iCs/>
          <w:sz w:val="24"/>
          <w:szCs w:val="24"/>
        </w:rPr>
        <w:t>”</w:t>
      </w:r>
      <w:r w:rsidRPr="006A536E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3F71CF68" w14:textId="77777777" w:rsidR="006A1D27" w:rsidRDefault="006A1D27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5993CC6A" w14:textId="2215E2B1" w:rsidR="006A536E" w:rsidRDefault="006A536E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RESPUESTA: </w:t>
      </w:r>
    </w:p>
    <w:p w14:paraId="60FF5C05" w14:textId="77777777" w:rsidR="00A936AC" w:rsidRDefault="00A936AC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46F8928C" w14:textId="26B200B5" w:rsidR="00A936AC" w:rsidRPr="00A936AC" w:rsidRDefault="00A936AC" w:rsidP="00A936AC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 w:rsidRPr="00A936AC">
        <w:rPr>
          <w:rFonts w:ascii="Arial" w:eastAsia="Arial" w:hAnsi="Arial" w:cs="Arial"/>
          <w:sz w:val="24"/>
          <w:szCs w:val="24"/>
        </w:rPr>
        <w:t>Con relación a la solicitud realizada frente a la exigencia de la Licencia IATA, aplica la respuesta dada a la Observación No. 1 del presente documento.</w:t>
      </w:r>
    </w:p>
    <w:p w14:paraId="325899CA" w14:textId="77777777" w:rsidR="00A936AC" w:rsidRPr="00A936AC" w:rsidRDefault="00A936AC" w:rsidP="00A936AC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772108E9" w14:textId="1EA1D96C" w:rsidR="00A936AC" w:rsidRPr="00A936AC" w:rsidRDefault="00A936AC" w:rsidP="00A936AC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 w:rsidRPr="00A936AC">
        <w:rPr>
          <w:rFonts w:ascii="Arial" w:eastAsia="Arial" w:hAnsi="Arial" w:cs="Arial"/>
          <w:sz w:val="24"/>
          <w:szCs w:val="24"/>
        </w:rPr>
        <w:t xml:space="preserve">Frente a la solicitud de eliminar </w:t>
      </w:r>
      <w:r w:rsidR="00E13790">
        <w:rPr>
          <w:rFonts w:ascii="Arial" w:eastAsia="Arial" w:hAnsi="Arial" w:cs="Arial"/>
          <w:sz w:val="24"/>
          <w:szCs w:val="24"/>
        </w:rPr>
        <w:t xml:space="preserve">la exigencia de contar con diez (10) años de constitución desarrollando el objeto social para el suministro de pasajes aéreos, la entidad acepta la observación y al respecto ver la Modificación No. 3 a los Términos y Condiciones de la Invitación Abierta No. 002 de 2024. </w:t>
      </w:r>
    </w:p>
    <w:p w14:paraId="5835B96F" w14:textId="77777777" w:rsidR="006A536E" w:rsidRDefault="006A536E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6B400A37" w14:textId="5857A23D" w:rsidR="00903665" w:rsidRPr="006A1D27" w:rsidRDefault="00903665" w:rsidP="00903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6A1D27">
        <w:rPr>
          <w:rFonts w:ascii="Arial" w:eastAsia="Arial" w:hAnsi="Arial" w:cs="Arial"/>
          <w:b/>
          <w:bCs/>
          <w:sz w:val="24"/>
          <w:szCs w:val="24"/>
        </w:rPr>
        <w:t xml:space="preserve">.- </w:t>
      </w:r>
      <w:proofErr w:type="spellStart"/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NEWTRIP</w:t>
      </w:r>
      <w:proofErr w:type="spellEnd"/>
      <w:r w:rsidRPr="006A1D2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- JOHANA ALVARINO NARVÁEZ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- </w:t>
      </w:r>
      <w:r w:rsidRPr="0090366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JAVIER ANTONIO QUIJANO GUILLEN</w:t>
      </w:r>
    </w:p>
    <w:p w14:paraId="12D4D04D" w14:textId="77777777" w:rsidR="00903665" w:rsidRDefault="00903665" w:rsidP="00903665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sz w:val="24"/>
          <w:szCs w:val="24"/>
        </w:rPr>
      </w:pPr>
    </w:p>
    <w:p w14:paraId="267363A7" w14:textId="6F4868A1" w:rsidR="00903665" w:rsidRPr="00903665" w:rsidRDefault="00903665" w:rsidP="00903665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  <w:r w:rsidRPr="00903665">
        <w:rPr>
          <w:rFonts w:ascii="Arial" w:eastAsia="Arial" w:hAnsi="Arial" w:cs="Arial"/>
          <w:b/>
          <w:bCs/>
          <w:sz w:val="24"/>
          <w:szCs w:val="24"/>
        </w:rPr>
        <w:t>OBSERVACIÓN No. 3</w:t>
      </w:r>
    </w:p>
    <w:p w14:paraId="47115425" w14:textId="77777777" w:rsidR="006A536E" w:rsidRDefault="006A536E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30BEECE6" w14:textId="5D29DD91" w:rsidR="00484FA8" w:rsidRPr="00484FA8" w:rsidRDefault="00484FA8" w:rsidP="00484FA8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“</w:t>
      </w:r>
      <w:r w:rsidRPr="00484FA8">
        <w:rPr>
          <w:rFonts w:ascii="Arial" w:eastAsia="Arial" w:hAnsi="Arial" w:cs="Arial"/>
          <w:i/>
          <w:iCs/>
          <w:sz w:val="24"/>
          <w:szCs w:val="24"/>
        </w:rPr>
        <w:t xml:space="preserve">Me dirijo a ustedes en mi calidad de representante legal de la agencia de viajes NEW </w:t>
      </w:r>
      <w:proofErr w:type="spellStart"/>
      <w:r w:rsidRPr="00484FA8">
        <w:rPr>
          <w:rFonts w:ascii="Arial" w:eastAsia="Arial" w:hAnsi="Arial" w:cs="Arial"/>
          <w:i/>
          <w:iCs/>
          <w:sz w:val="24"/>
          <w:szCs w:val="24"/>
        </w:rPr>
        <w:t>TRIP</w:t>
      </w:r>
      <w:proofErr w:type="spellEnd"/>
      <w:r w:rsidRPr="00484FA8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484FA8">
        <w:rPr>
          <w:rFonts w:ascii="Arial" w:eastAsia="Arial" w:hAnsi="Arial" w:cs="Arial"/>
          <w:i/>
          <w:iCs/>
          <w:sz w:val="24"/>
          <w:szCs w:val="24"/>
        </w:rPr>
        <w:t>AJR</w:t>
      </w:r>
      <w:proofErr w:type="spellEnd"/>
      <w:r w:rsidRPr="00484FA8">
        <w:rPr>
          <w:rFonts w:ascii="Arial" w:eastAsia="Arial" w:hAnsi="Arial" w:cs="Arial"/>
          <w:i/>
          <w:iCs/>
          <w:sz w:val="24"/>
          <w:szCs w:val="24"/>
        </w:rPr>
        <w:t xml:space="preserve"> SAS, para solicitarles la eliminación de la solicitud de licencia IATA para el presente proceso de selección. Además, solicitamos la revisión y eliminación del requisito que estipula que el proponente debe tener al menos 10 años de constitución para participar en el proceso de selección abreviada.</w:t>
      </w:r>
    </w:p>
    <w:p w14:paraId="2E77A5BA" w14:textId="77777777" w:rsidR="00484FA8" w:rsidRPr="00484FA8" w:rsidRDefault="00484FA8" w:rsidP="00484FA8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7930142" w14:textId="27F99FE4" w:rsidR="00484FA8" w:rsidRPr="00484FA8" w:rsidRDefault="00484FA8" w:rsidP="00484FA8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484FA8">
        <w:rPr>
          <w:rFonts w:ascii="Arial" w:eastAsia="Arial" w:hAnsi="Arial" w:cs="Arial"/>
          <w:i/>
          <w:iCs/>
          <w:sz w:val="24"/>
          <w:szCs w:val="24"/>
        </w:rPr>
        <w:lastRenderedPageBreak/>
        <w:t>El motivo de nuestra solicitud es garantizar una mayor transparencia y equidad en el proceso de selección. Consideramos que la eliminación del requisito de los 10 años de constitución permitirá una participación más inclusiva y equitativa, sin que la antigüedad sea un factor excluyente que pueda limitar la competencia de entidades potencialmente competentes y con la capacidad necesaria para cumplir con los estándares requeridos.</w:t>
      </w:r>
    </w:p>
    <w:p w14:paraId="6D4530AA" w14:textId="77777777" w:rsidR="00484FA8" w:rsidRPr="00484FA8" w:rsidRDefault="00484FA8" w:rsidP="00484FA8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3C58392" w14:textId="4188D3EC" w:rsidR="006A1D27" w:rsidRDefault="00484FA8" w:rsidP="00484FA8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484FA8">
        <w:rPr>
          <w:rFonts w:ascii="Arial" w:eastAsia="Arial" w:hAnsi="Arial" w:cs="Arial"/>
          <w:i/>
          <w:iCs/>
          <w:sz w:val="24"/>
          <w:szCs w:val="24"/>
        </w:rPr>
        <w:t>Estamos comprometidos con la transparencia y la equidad en todos los procesos y confiamos en que la modificación de estos requisitos contribuirá a una selección más justa y representativa</w:t>
      </w:r>
      <w:r>
        <w:rPr>
          <w:rFonts w:ascii="Arial" w:eastAsia="Arial" w:hAnsi="Arial" w:cs="Arial"/>
          <w:i/>
          <w:iCs/>
          <w:sz w:val="24"/>
          <w:szCs w:val="24"/>
        </w:rPr>
        <w:t>”</w:t>
      </w:r>
      <w:r w:rsidRPr="00484FA8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060BC159" w14:textId="77777777" w:rsidR="00484FA8" w:rsidRDefault="00484FA8" w:rsidP="00484FA8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3F4C66BD" w14:textId="1254CC1E" w:rsidR="00484FA8" w:rsidRPr="00484FA8" w:rsidRDefault="00484FA8" w:rsidP="00484FA8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84FA8">
        <w:rPr>
          <w:rFonts w:ascii="Arial" w:eastAsia="Arial" w:hAnsi="Arial" w:cs="Arial"/>
          <w:b/>
          <w:bCs/>
          <w:sz w:val="24"/>
          <w:szCs w:val="24"/>
        </w:rPr>
        <w:t>RESPUESTA:</w:t>
      </w:r>
    </w:p>
    <w:p w14:paraId="15A59A4C" w14:textId="77777777" w:rsidR="006A1D27" w:rsidRDefault="006A1D27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009F80AE" w14:textId="3E4F29F0" w:rsidR="00837CE6" w:rsidRDefault="00837CE6" w:rsidP="00837CE6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tratarse de una idéntica observación a la realizada por la empresa NT VIAJES Y TURISMO S.A.S., aplica la respuesta dada por COCREA a la observación No.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302E1DB" w14:textId="77777777" w:rsidR="00837CE6" w:rsidRDefault="00837CE6" w:rsidP="00B967E0">
      <w:pPr>
        <w:tabs>
          <w:tab w:val="left" w:pos="-567"/>
        </w:tabs>
        <w:spacing w:after="0"/>
        <w:ind w:right="-516"/>
        <w:rPr>
          <w:rFonts w:ascii="Arial" w:eastAsia="Arial" w:hAnsi="Arial" w:cs="Arial"/>
          <w:b/>
          <w:bCs/>
          <w:sz w:val="24"/>
          <w:szCs w:val="24"/>
        </w:rPr>
      </w:pPr>
    </w:p>
    <w:p w14:paraId="2C8832F6" w14:textId="2C4C36D7" w:rsidR="006A1D27" w:rsidRDefault="00484FA8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OBSERVACIÓN No. 4</w:t>
      </w:r>
    </w:p>
    <w:p w14:paraId="7FD93372" w14:textId="77777777" w:rsidR="00484FA8" w:rsidRPr="00F46E76" w:rsidRDefault="00484FA8" w:rsidP="006A1D27">
      <w:pPr>
        <w:tabs>
          <w:tab w:val="left" w:pos="-567"/>
        </w:tabs>
        <w:spacing w:after="0"/>
        <w:ind w:left="-567" w:right="-516"/>
        <w:rPr>
          <w:rFonts w:ascii="Arial" w:eastAsia="Arial" w:hAnsi="Arial" w:cs="Arial"/>
          <w:i/>
          <w:iCs/>
          <w:sz w:val="24"/>
          <w:szCs w:val="24"/>
        </w:rPr>
      </w:pPr>
    </w:p>
    <w:p w14:paraId="3571814C" w14:textId="28763AB9" w:rsidR="00484FA8" w:rsidRDefault="00F46E76" w:rsidP="00F46E76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“</w:t>
      </w:r>
      <w:r w:rsidRPr="00F46E76">
        <w:rPr>
          <w:rFonts w:ascii="Arial" w:eastAsia="Arial" w:hAnsi="Arial" w:cs="Arial"/>
          <w:i/>
          <w:iCs/>
          <w:sz w:val="24"/>
          <w:szCs w:val="24"/>
        </w:rPr>
        <w:t xml:space="preserve">En aras de garantizar la pluralidad de oferentes y proporcionar un escenario transparente para la selección del contratista del presente proceso de selección, solicitamos amablemente a la entidad considerar la eliminación de la solicitud establecida en el apartado 2.2.2 REQUISITOS </w:t>
      </w:r>
      <w:r w:rsidRPr="00F46E76">
        <w:rPr>
          <w:rFonts w:ascii="Arial" w:eastAsia="Arial" w:hAnsi="Arial" w:cs="Arial"/>
          <w:i/>
          <w:iCs/>
          <w:sz w:val="24"/>
          <w:szCs w:val="24"/>
        </w:rPr>
        <w:t>TÉCNICOS</w:t>
      </w:r>
      <w:r w:rsidRPr="00F46E76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F46E76">
        <w:rPr>
          <w:rFonts w:ascii="Arial" w:eastAsia="Arial" w:hAnsi="Arial" w:cs="Arial"/>
          <w:i/>
          <w:iCs/>
          <w:sz w:val="24"/>
          <w:szCs w:val="24"/>
        </w:rPr>
        <w:t>MÍNIMOS</w:t>
      </w:r>
      <w:r w:rsidRPr="00F46E76">
        <w:rPr>
          <w:rFonts w:ascii="Arial" w:eastAsia="Arial" w:hAnsi="Arial" w:cs="Arial"/>
          <w:i/>
          <w:iCs/>
          <w:sz w:val="24"/>
          <w:szCs w:val="24"/>
        </w:rPr>
        <w:t>, en el numeral 2.2.2.3 LICENCIA IATA, que considera que “El proponente deberá acreditar, a través de una certificación, su licencia de funcionamiento vigente de la Asociación Internacional de Transporte Aéreo IATA a la fecha de cierre del presente proceso, y deberá mantenerse vigente durante el plazo de ejecución del contrato.” Lo anterior condiciona la participación de agencias de viajes que no sean IATA pero que tienen plena capacidad técnica, operativa y financiera para llevar a cabo un contrato de esta cuantía</w:t>
      </w:r>
      <w:r>
        <w:rPr>
          <w:rFonts w:ascii="Arial" w:eastAsia="Arial" w:hAnsi="Arial" w:cs="Arial"/>
          <w:i/>
          <w:iCs/>
          <w:sz w:val="24"/>
          <w:szCs w:val="24"/>
        </w:rPr>
        <w:t>”</w:t>
      </w:r>
      <w:r w:rsidRPr="00F46E76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4EC8771F" w14:textId="77777777" w:rsidR="00F46E76" w:rsidRDefault="00F46E76" w:rsidP="00F46E76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F2FB5FA" w14:textId="258BFE6D" w:rsidR="00F46E76" w:rsidRPr="00F46E76" w:rsidRDefault="00F46E76" w:rsidP="00F46E76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46E76">
        <w:rPr>
          <w:rFonts w:ascii="Arial" w:eastAsia="Arial" w:hAnsi="Arial" w:cs="Arial"/>
          <w:b/>
          <w:bCs/>
          <w:sz w:val="24"/>
          <w:szCs w:val="24"/>
        </w:rPr>
        <w:t xml:space="preserve">RESPUESTA: </w:t>
      </w:r>
    </w:p>
    <w:p w14:paraId="1BA47A9A" w14:textId="77777777" w:rsidR="00F46E76" w:rsidRDefault="00F46E76" w:rsidP="00F46E76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71D5D3A2" w14:textId="1BD3AD9F" w:rsidR="00F46E76" w:rsidRDefault="00F46E76" w:rsidP="00F46E76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tratarse de una </w:t>
      </w:r>
      <w:r w:rsidR="00837CE6">
        <w:rPr>
          <w:rFonts w:ascii="Arial" w:eastAsia="Arial" w:hAnsi="Arial" w:cs="Arial"/>
          <w:sz w:val="24"/>
          <w:szCs w:val="24"/>
        </w:rPr>
        <w:t xml:space="preserve">idéntica observación a la realizada por la empresa NT VIAJES Y TURISMO S.A.S., aplica la respuesta dada por COCREA a la observación No. 1. </w:t>
      </w:r>
    </w:p>
    <w:p w14:paraId="1A673DC3" w14:textId="77777777" w:rsidR="00837CE6" w:rsidRDefault="00837CE6" w:rsidP="00F46E76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2C30CB09" w14:textId="77777777" w:rsidR="00837CE6" w:rsidRPr="00F46E76" w:rsidRDefault="00837CE6" w:rsidP="00F46E76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p w14:paraId="43F1EE33" w14:textId="5EF394EE" w:rsidR="003A5FD5" w:rsidRPr="003A5FD5" w:rsidRDefault="000F00E2" w:rsidP="00A40232">
      <w:pPr>
        <w:tabs>
          <w:tab w:val="left" w:pos="-567"/>
        </w:tabs>
        <w:spacing w:after="0"/>
        <w:ind w:left="-567" w:right="-5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Dadas en</w:t>
      </w:r>
      <w:r w:rsidR="003A5FD5" w:rsidRPr="003A5FD5">
        <w:rPr>
          <w:rFonts w:ascii="Arial" w:eastAsia="Arial" w:hAnsi="Arial" w:cs="Arial"/>
          <w:sz w:val="24"/>
          <w:szCs w:val="24"/>
        </w:rPr>
        <w:t xml:space="preserve"> Bogotá D.C., a los </w:t>
      </w:r>
      <w:r w:rsidR="006B5BDD">
        <w:rPr>
          <w:rFonts w:ascii="Arial" w:eastAsia="Arial" w:hAnsi="Arial" w:cs="Arial"/>
          <w:sz w:val="24"/>
          <w:szCs w:val="24"/>
        </w:rPr>
        <w:t>nueve</w:t>
      </w:r>
      <w:r w:rsidR="001B3BCE">
        <w:rPr>
          <w:rFonts w:ascii="Arial" w:eastAsia="Arial" w:hAnsi="Arial" w:cs="Arial"/>
          <w:sz w:val="24"/>
          <w:szCs w:val="24"/>
        </w:rPr>
        <w:t xml:space="preserve"> (</w:t>
      </w:r>
      <w:r w:rsidR="006B5BDD">
        <w:rPr>
          <w:rFonts w:ascii="Arial" w:eastAsia="Arial" w:hAnsi="Arial" w:cs="Arial"/>
          <w:sz w:val="24"/>
          <w:szCs w:val="24"/>
        </w:rPr>
        <w:t>9</w:t>
      </w:r>
      <w:r w:rsidR="00A40232">
        <w:rPr>
          <w:rFonts w:ascii="Arial" w:eastAsia="Arial" w:hAnsi="Arial" w:cs="Arial"/>
          <w:sz w:val="24"/>
          <w:szCs w:val="24"/>
        </w:rPr>
        <w:t>)</w:t>
      </w:r>
      <w:r w:rsidR="003A5FD5" w:rsidRPr="003A5FD5">
        <w:rPr>
          <w:rFonts w:ascii="Arial" w:eastAsia="Arial" w:hAnsi="Arial" w:cs="Arial"/>
          <w:sz w:val="24"/>
          <w:szCs w:val="24"/>
        </w:rPr>
        <w:t xml:space="preserve"> días del mes de </w:t>
      </w:r>
      <w:r w:rsidR="00A40232">
        <w:rPr>
          <w:rFonts w:ascii="Arial" w:eastAsia="Arial" w:hAnsi="Arial" w:cs="Arial"/>
          <w:sz w:val="24"/>
          <w:szCs w:val="24"/>
        </w:rPr>
        <w:t xml:space="preserve">agosto </w:t>
      </w:r>
      <w:r w:rsidR="003A5FD5" w:rsidRPr="003A5FD5">
        <w:rPr>
          <w:rFonts w:ascii="Arial" w:eastAsia="Arial" w:hAnsi="Arial" w:cs="Arial"/>
          <w:sz w:val="24"/>
          <w:szCs w:val="24"/>
        </w:rPr>
        <w:t>de 2024.</w:t>
      </w:r>
    </w:p>
    <w:p w14:paraId="73D50772" w14:textId="77777777" w:rsidR="003A5FD5" w:rsidRPr="003A5FD5" w:rsidRDefault="003A5FD5" w:rsidP="00B4161E">
      <w:pPr>
        <w:tabs>
          <w:tab w:val="left" w:pos="-567"/>
        </w:tabs>
        <w:spacing w:after="0"/>
        <w:ind w:left="-567" w:right="-516"/>
        <w:jc w:val="both"/>
        <w:rPr>
          <w:rFonts w:ascii="Arial" w:eastAsia="Arial" w:hAnsi="Arial" w:cs="Arial"/>
          <w:sz w:val="24"/>
          <w:szCs w:val="24"/>
        </w:rPr>
      </w:pPr>
    </w:p>
    <w:sectPr w:rsidR="003A5FD5" w:rsidRPr="003A5FD5">
      <w:headerReference w:type="default" r:id="rId9"/>
      <w:footerReference w:type="default" r:id="rId10"/>
      <w:pgSz w:w="12240" w:h="15840"/>
      <w:pgMar w:top="2125" w:right="1700" w:bottom="1417" w:left="1700" w:header="323" w:footer="1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0307" w14:textId="77777777" w:rsidR="0042299D" w:rsidRDefault="0042299D">
      <w:pPr>
        <w:spacing w:after="0" w:line="240" w:lineRule="auto"/>
      </w:pPr>
      <w:r>
        <w:separator/>
      </w:r>
    </w:p>
  </w:endnote>
  <w:endnote w:type="continuationSeparator" w:id="0">
    <w:p w14:paraId="7086AF97" w14:textId="77777777" w:rsidR="0042299D" w:rsidRDefault="0042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10D2" w14:textId="77777777" w:rsidR="0097552C" w:rsidRDefault="009755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Roboto Thin" w:eastAsia="Roboto Thin" w:hAnsi="Roboto Thin" w:cs="Roboto Thin"/>
        <w:color w:val="434343"/>
        <w:sz w:val="18"/>
        <w:szCs w:val="18"/>
      </w:rPr>
    </w:pPr>
    <w:r>
      <w:rPr>
        <w:rFonts w:ascii="Arimo" w:eastAsia="Arimo" w:hAnsi="Arimo" w:cs="Arimo"/>
        <w:b/>
        <w:color w:val="434343"/>
        <w:sz w:val="18"/>
        <w:szCs w:val="18"/>
      </w:rPr>
      <w:t>⚲</w:t>
    </w:r>
    <w:r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>
      <w:rPr>
        <w:b/>
        <w:color w:val="434343"/>
        <w:sz w:val="18"/>
        <w:szCs w:val="18"/>
      </w:rPr>
      <w:t>Nit</w:t>
    </w:r>
    <w:proofErr w:type="spellEnd"/>
    <w:r>
      <w:rPr>
        <w:b/>
        <w:color w:val="434343"/>
        <w:sz w:val="18"/>
        <w:szCs w:val="18"/>
      </w:rPr>
      <w:t xml:space="preserve">: </w:t>
    </w:r>
    <w:r>
      <w:rPr>
        <w:rFonts w:ascii="Roboto Thin" w:eastAsia="Roboto Thin" w:hAnsi="Roboto Thin" w:cs="Roboto Thin"/>
        <w:color w:val="434343"/>
        <w:sz w:val="18"/>
        <w:szCs w:val="18"/>
      </w:rPr>
      <w:t>901345524-7</w:t>
    </w:r>
    <w:r>
      <w:rPr>
        <w:noProof/>
      </w:rPr>
      <w:drawing>
        <wp:anchor distT="0" distB="0" distL="0" distR="0" simplePos="0" relativeHeight="251660288" behindDoc="0" locked="0" layoutInCell="1" hidden="0" allowOverlap="1" wp14:anchorId="4D3BB8A9" wp14:editId="0727F6C7">
          <wp:simplePos x="0" y="0"/>
          <wp:positionH relativeFrom="column">
            <wp:posOffset>5612400</wp:posOffset>
          </wp:positionH>
          <wp:positionV relativeFrom="paragraph">
            <wp:posOffset>76200</wp:posOffset>
          </wp:positionV>
          <wp:extent cx="448762" cy="448762"/>
          <wp:effectExtent l="0" t="0" r="0" b="0"/>
          <wp:wrapNone/>
          <wp:docPr id="28" name="image2.png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332D96E" wp14:editId="70CC2015">
          <wp:simplePos x="0" y="0"/>
          <wp:positionH relativeFrom="column">
            <wp:posOffset>-9513</wp:posOffset>
          </wp:positionH>
          <wp:positionV relativeFrom="paragraph">
            <wp:posOffset>228600</wp:posOffset>
          </wp:positionV>
          <wp:extent cx="5610225" cy="372427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9599" b="25402"/>
                  <a:stretch>
                    <a:fillRect/>
                  </a:stretch>
                </pic:blipFill>
                <pic:spPr>
                  <a:xfrm>
                    <a:off x="0" y="0"/>
                    <a:ext cx="5610225" cy="3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D043" w14:textId="77777777" w:rsidR="0042299D" w:rsidRDefault="0042299D">
      <w:pPr>
        <w:spacing w:after="0" w:line="240" w:lineRule="auto"/>
      </w:pPr>
      <w:r>
        <w:separator/>
      </w:r>
    </w:p>
  </w:footnote>
  <w:footnote w:type="continuationSeparator" w:id="0">
    <w:p w14:paraId="0B05B601" w14:textId="77777777" w:rsidR="0042299D" w:rsidRDefault="0042299D">
      <w:pPr>
        <w:spacing w:after="0" w:line="240" w:lineRule="auto"/>
      </w:pPr>
      <w:r>
        <w:continuationSeparator/>
      </w:r>
    </w:p>
  </w:footnote>
  <w:footnote w:id="1">
    <w:p w14:paraId="0F768103" w14:textId="1D494CCA" w:rsidR="002A7C7C" w:rsidRDefault="002A7C7C" w:rsidP="002A7C7C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A7C7C">
        <w:rPr>
          <w:rStyle w:val="Refdenotaalpie"/>
          <w:rFonts w:ascii="Arial" w:hAnsi="Arial" w:cs="Arial"/>
          <w:sz w:val="16"/>
          <w:szCs w:val="16"/>
        </w:rPr>
        <w:footnoteRef/>
      </w:r>
      <w:r w:rsidRPr="002A7C7C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5B039A">
          <w:rPr>
            <w:rStyle w:val="Hipervnculo"/>
            <w:rFonts w:ascii="Arial" w:hAnsi="Arial" w:cs="Arial"/>
            <w:sz w:val="16"/>
            <w:szCs w:val="16"/>
          </w:rPr>
          <w:t>https://portal.iata.org/faq/articles/es/FAQ/Cu%C3%A1les-son-las-ventajas-de-ser-un-agente-acreditado-por-IATA-141581109533</w:t>
        </w:r>
        <w:r w:rsidRPr="005B039A">
          <w:rPr>
            <w:rStyle w:val="Hipervnculo"/>
            <w:rFonts w:ascii="Arial" w:hAnsi="Arial" w:cs="Arial"/>
            <w:sz w:val="16"/>
            <w:szCs w:val="16"/>
          </w:rPr>
          <w:t>0</w:t>
        </w:r>
      </w:hyperlink>
    </w:p>
    <w:p w14:paraId="591FA720" w14:textId="77777777" w:rsidR="002A7C7C" w:rsidRPr="002A7C7C" w:rsidRDefault="002A7C7C" w:rsidP="002A7C7C">
      <w:pPr>
        <w:pStyle w:val="Textonotapie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4B42EB1E" w14:textId="2FCE60E7" w:rsidR="0018538F" w:rsidRPr="0018538F" w:rsidRDefault="0018538F">
      <w:pPr>
        <w:pStyle w:val="Textonotapie"/>
        <w:rPr>
          <w:rFonts w:ascii="Arial" w:hAnsi="Arial" w:cs="Arial"/>
          <w:sz w:val="16"/>
          <w:szCs w:val="16"/>
        </w:rPr>
      </w:pPr>
      <w:r w:rsidRPr="0018538F">
        <w:rPr>
          <w:rStyle w:val="Refdenotaalpie"/>
          <w:rFonts w:ascii="Arial" w:hAnsi="Arial" w:cs="Arial"/>
          <w:sz w:val="16"/>
          <w:szCs w:val="16"/>
        </w:rPr>
        <w:footnoteRef/>
      </w:r>
      <w:r w:rsidRPr="0018538F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18538F">
          <w:rPr>
            <w:rStyle w:val="Hipervnculo"/>
            <w:rFonts w:ascii="Arial" w:hAnsi="Arial" w:cs="Arial"/>
            <w:sz w:val="16"/>
            <w:szCs w:val="16"/>
          </w:rPr>
          <w:t>https://transparenciacolombia.org.co/agencia-de-viajes-2/#</w:t>
        </w:r>
      </w:hyperlink>
    </w:p>
    <w:p w14:paraId="712C719B" w14:textId="77777777" w:rsidR="0018538F" w:rsidRDefault="0018538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74A1" w14:textId="77777777" w:rsidR="0097552C" w:rsidRDefault="009755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right"/>
      <w:rPr>
        <w:rFonts w:ascii="Roboto Thin" w:eastAsia="Roboto Thin" w:hAnsi="Roboto Thin" w:cs="Roboto Thin"/>
        <w:sz w:val="18"/>
        <w:szCs w:val="18"/>
      </w:rPr>
    </w:pPr>
  </w:p>
  <w:p w14:paraId="656CFC3C" w14:textId="77777777" w:rsidR="0097552C" w:rsidRDefault="009755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52" w:right="204"/>
      <w:jc w:val="center"/>
      <w:rPr>
        <w:rFonts w:ascii="Roboto Thin" w:eastAsia="Roboto Thin" w:hAnsi="Roboto Thin" w:cs="Roboto Thin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EC3FE74" wp14:editId="60057A8F">
          <wp:simplePos x="0" y="0"/>
          <wp:positionH relativeFrom="column">
            <wp:posOffset>-9513</wp:posOffset>
          </wp:positionH>
          <wp:positionV relativeFrom="paragraph">
            <wp:posOffset>114300</wp:posOffset>
          </wp:positionV>
          <wp:extent cx="1581765" cy="3714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156909" w14:textId="77777777" w:rsidR="0097552C" w:rsidRDefault="009755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204"/>
      <w:rPr>
        <w:rFonts w:ascii="Roboto Thin" w:eastAsia="Roboto Thin" w:hAnsi="Roboto Thin" w:cs="Roboto Thin"/>
        <w:sz w:val="18"/>
        <w:szCs w:val="18"/>
      </w:rPr>
    </w:pPr>
  </w:p>
  <w:p w14:paraId="4D6B4394" w14:textId="77777777" w:rsidR="0097552C" w:rsidRDefault="00C87B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62"/>
      <w:jc w:val="right"/>
      <w:rPr>
        <w:rFonts w:ascii="Roboto Thin" w:eastAsia="Roboto Thin" w:hAnsi="Roboto Thin" w:cs="Roboto Thin"/>
        <w:color w:val="666666"/>
      </w:rPr>
    </w:pPr>
    <w:hyperlink r:id="rId2">
      <w:r w:rsidR="0097552C">
        <w:rPr>
          <w:rFonts w:ascii="Roboto Thin" w:eastAsia="Roboto Thin" w:hAnsi="Roboto Thin" w:cs="Roboto Thin"/>
          <w:color w:val="666666"/>
        </w:rPr>
        <w:t>www.cocrea.com.co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51B"/>
    <w:multiLevelType w:val="multilevel"/>
    <w:tmpl w:val="02BE72D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CF9"/>
    <w:multiLevelType w:val="hybridMultilevel"/>
    <w:tmpl w:val="D0F6EF36"/>
    <w:lvl w:ilvl="0" w:tplc="610685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DAF6D6E"/>
    <w:multiLevelType w:val="multilevel"/>
    <w:tmpl w:val="ABA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5090A"/>
    <w:multiLevelType w:val="multilevel"/>
    <w:tmpl w:val="0DD6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026B5"/>
    <w:multiLevelType w:val="multilevel"/>
    <w:tmpl w:val="52226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40736"/>
    <w:multiLevelType w:val="multilevel"/>
    <w:tmpl w:val="B36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12361"/>
    <w:multiLevelType w:val="multilevel"/>
    <w:tmpl w:val="D5D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8148C"/>
    <w:multiLevelType w:val="hybridMultilevel"/>
    <w:tmpl w:val="57A257EC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9365A6F"/>
    <w:multiLevelType w:val="multilevel"/>
    <w:tmpl w:val="19E8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812A4"/>
    <w:multiLevelType w:val="hybridMultilevel"/>
    <w:tmpl w:val="C03C4466"/>
    <w:lvl w:ilvl="0" w:tplc="4D4268FE">
      <w:numFmt w:val="bullet"/>
      <w:lvlText w:val="•"/>
      <w:lvlJc w:val="left"/>
      <w:pPr>
        <w:ind w:left="214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351A80B0">
      <w:numFmt w:val="bullet"/>
      <w:lvlText w:val="•"/>
      <w:lvlJc w:val="left"/>
      <w:pPr>
        <w:ind w:left="1104" w:hanging="113"/>
      </w:pPr>
      <w:rPr>
        <w:lang w:val="es-ES" w:eastAsia="en-US" w:bidi="ar-SA"/>
      </w:rPr>
    </w:lvl>
    <w:lvl w:ilvl="2" w:tplc="6F7C8944">
      <w:numFmt w:val="bullet"/>
      <w:lvlText w:val="•"/>
      <w:lvlJc w:val="left"/>
      <w:pPr>
        <w:ind w:left="1988" w:hanging="113"/>
      </w:pPr>
      <w:rPr>
        <w:lang w:val="es-ES" w:eastAsia="en-US" w:bidi="ar-SA"/>
      </w:rPr>
    </w:lvl>
    <w:lvl w:ilvl="3" w:tplc="849E4A0C">
      <w:numFmt w:val="bullet"/>
      <w:lvlText w:val="•"/>
      <w:lvlJc w:val="left"/>
      <w:pPr>
        <w:ind w:left="2872" w:hanging="113"/>
      </w:pPr>
      <w:rPr>
        <w:lang w:val="es-ES" w:eastAsia="en-US" w:bidi="ar-SA"/>
      </w:rPr>
    </w:lvl>
    <w:lvl w:ilvl="4" w:tplc="0E5EA582">
      <w:numFmt w:val="bullet"/>
      <w:lvlText w:val="•"/>
      <w:lvlJc w:val="left"/>
      <w:pPr>
        <w:ind w:left="3756" w:hanging="113"/>
      </w:pPr>
      <w:rPr>
        <w:lang w:val="es-ES" w:eastAsia="en-US" w:bidi="ar-SA"/>
      </w:rPr>
    </w:lvl>
    <w:lvl w:ilvl="5" w:tplc="01243C2C">
      <w:numFmt w:val="bullet"/>
      <w:lvlText w:val="•"/>
      <w:lvlJc w:val="left"/>
      <w:pPr>
        <w:ind w:left="4640" w:hanging="113"/>
      </w:pPr>
      <w:rPr>
        <w:lang w:val="es-ES" w:eastAsia="en-US" w:bidi="ar-SA"/>
      </w:rPr>
    </w:lvl>
    <w:lvl w:ilvl="6" w:tplc="C2ACF24A">
      <w:numFmt w:val="bullet"/>
      <w:lvlText w:val="•"/>
      <w:lvlJc w:val="left"/>
      <w:pPr>
        <w:ind w:left="5524" w:hanging="113"/>
      </w:pPr>
      <w:rPr>
        <w:lang w:val="es-ES" w:eastAsia="en-US" w:bidi="ar-SA"/>
      </w:rPr>
    </w:lvl>
    <w:lvl w:ilvl="7" w:tplc="935E2186">
      <w:numFmt w:val="bullet"/>
      <w:lvlText w:val="•"/>
      <w:lvlJc w:val="left"/>
      <w:pPr>
        <w:ind w:left="6408" w:hanging="113"/>
      </w:pPr>
      <w:rPr>
        <w:lang w:val="es-ES" w:eastAsia="en-US" w:bidi="ar-SA"/>
      </w:rPr>
    </w:lvl>
    <w:lvl w:ilvl="8" w:tplc="63A4EBCE">
      <w:numFmt w:val="bullet"/>
      <w:lvlText w:val="•"/>
      <w:lvlJc w:val="left"/>
      <w:pPr>
        <w:ind w:left="7292" w:hanging="113"/>
      </w:pPr>
      <w:rPr>
        <w:lang w:val="es-ES" w:eastAsia="en-US" w:bidi="ar-SA"/>
      </w:rPr>
    </w:lvl>
  </w:abstractNum>
  <w:abstractNum w:abstractNumId="10" w15:restartNumberingAfterBreak="0">
    <w:nsid w:val="57593AEB"/>
    <w:multiLevelType w:val="hybridMultilevel"/>
    <w:tmpl w:val="290ADC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B109D"/>
    <w:multiLevelType w:val="multilevel"/>
    <w:tmpl w:val="363A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3954F3"/>
    <w:multiLevelType w:val="multilevel"/>
    <w:tmpl w:val="5C1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61CB9"/>
    <w:multiLevelType w:val="hybridMultilevel"/>
    <w:tmpl w:val="DBDAFA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3098F"/>
    <w:multiLevelType w:val="multilevel"/>
    <w:tmpl w:val="C14A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871689">
    <w:abstractNumId w:val="0"/>
  </w:num>
  <w:num w:numId="2" w16cid:durableId="688023997">
    <w:abstractNumId w:val="11"/>
  </w:num>
  <w:num w:numId="3" w16cid:durableId="145241385">
    <w:abstractNumId w:val="4"/>
  </w:num>
  <w:num w:numId="4" w16cid:durableId="609239343">
    <w:abstractNumId w:val="1"/>
  </w:num>
  <w:num w:numId="5" w16cid:durableId="649989631">
    <w:abstractNumId w:val="10"/>
  </w:num>
  <w:num w:numId="6" w16cid:durableId="1954288882">
    <w:abstractNumId w:val="13"/>
  </w:num>
  <w:num w:numId="7" w16cid:durableId="887061657">
    <w:abstractNumId w:val="12"/>
  </w:num>
  <w:num w:numId="8" w16cid:durableId="2113626438">
    <w:abstractNumId w:val="6"/>
  </w:num>
  <w:num w:numId="9" w16cid:durableId="1674720969">
    <w:abstractNumId w:val="3"/>
  </w:num>
  <w:num w:numId="10" w16cid:durableId="1647396886">
    <w:abstractNumId w:val="14"/>
  </w:num>
  <w:num w:numId="11" w16cid:durableId="2038919815">
    <w:abstractNumId w:val="2"/>
  </w:num>
  <w:num w:numId="12" w16cid:durableId="1751848603">
    <w:abstractNumId w:val="5"/>
  </w:num>
  <w:num w:numId="13" w16cid:durableId="1950357747">
    <w:abstractNumId w:val="8"/>
  </w:num>
  <w:num w:numId="14" w16cid:durableId="1914242639">
    <w:abstractNumId w:val="7"/>
  </w:num>
  <w:num w:numId="15" w16cid:durableId="61416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7"/>
    <w:rsid w:val="00005A26"/>
    <w:rsid w:val="000201C7"/>
    <w:rsid w:val="00063064"/>
    <w:rsid w:val="00070BA1"/>
    <w:rsid w:val="00075502"/>
    <w:rsid w:val="0008251F"/>
    <w:rsid w:val="000930A7"/>
    <w:rsid w:val="000F00E2"/>
    <w:rsid w:val="000F1533"/>
    <w:rsid w:val="00104838"/>
    <w:rsid w:val="001366CC"/>
    <w:rsid w:val="00152830"/>
    <w:rsid w:val="001546FF"/>
    <w:rsid w:val="00157657"/>
    <w:rsid w:val="00163FEB"/>
    <w:rsid w:val="001645D6"/>
    <w:rsid w:val="00170042"/>
    <w:rsid w:val="00171DAC"/>
    <w:rsid w:val="001731E0"/>
    <w:rsid w:val="0018538F"/>
    <w:rsid w:val="001B3BCE"/>
    <w:rsid w:val="001C06FA"/>
    <w:rsid w:val="001D0FFE"/>
    <w:rsid w:val="001E43CD"/>
    <w:rsid w:val="001E5492"/>
    <w:rsid w:val="001F3F6C"/>
    <w:rsid w:val="001F477A"/>
    <w:rsid w:val="002111E4"/>
    <w:rsid w:val="0025203C"/>
    <w:rsid w:val="002570CD"/>
    <w:rsid w:val="00262270"/>
    <w:rsid w:val="00262704"/>
    <w:rsid w:val="002A74FB"/>
    <w:rsid w:val="002A7C7C"/>
    <w:rsid w:val="002B53C9"/>
    <w:rsid w:val="002B684D"/>
    <w:rsid w:val="002B71D8"/>
    <w:rsid w:val="00311307"/>
    <w:rsid w:val="00313A2B"/>
    <w:rsid w:val="00330B67"/>
    <w:rsid w:val="003855B7"/>
    <w:rsid w:val="00392F89"/>
    <w:rsid w:val="00395F9C"/>
    <w:rsid w:val="003A2F75"/>
    <w:rsid w:val="003A5FD5"/>
    <w:rsid w:val="003B17CE"/>
    <w:rsid w:val="003B6698"/>
    <w:rsid w:val="003B73F7"/>
    <w:rsid w:val="003D1862"/>
    <w:rsid w:val="003E013F"/>
    <w:rsid w:val="003E4BE4"/>
    <w:rsid w:val="0040185B"/>
    <w:rsid w:val="00411E7B"/>
    <w:rsid w:val="0041720E"/>
    <w:rsid w:val="0042299D"/>
    <w:rsid w:val="004642A6"/>
    <w:rsid w:val="00472A40"/>
    <w:rsid w:val="0048060A"/>
    <w:rsid w:val="00480D2D"/>
    <w:rsid w:val="00484FA8"/>
    <w:rsid w:val="004A6E72"/>
    <w:rsid w:val="004B718C"/>
    <w:rsid w:val="004C4691"/>
    <w:rsid w:val="004F2FF5"/>
    <w:rsid w:val="00520937"/>
    <w:rsid w:val="005450DC"/>
    <w:rsid w:val="00547F2E"/>
    <w:rsid w:val="00550377"/>
    <w:rsid w:val="00554F49"/>
    <w:rsid w:val="00566999"/>
    <w:rsid w:val="00582434"/>
    <w:rsid w:val="005A4FB8"/>
    <w:rsid w:val="005B56DB"/>
    <w:rsid w:val="005B7F13"/>
    <w:rsid w:val="005C6AF0"/>
    <w:rsid w:val="005F5690"/>
    <w:rsid w:val="005F5DB6"/>
    <w:rsid w:val="005F7957"/>
    <w:rsid w:val="00602DED"/>
    <w:rsid w:val="00603FAC"/>
    <w:rsid w:val="0061728C"/>
    <w:rsid w:val="006248DA"/>
    <w:rsid w:val="00624F34"/>
    <w:rsid w:val="006311E2"/>
    <w:rsid w:val="006370AE"/>
    <w:rsid w:val="00645A7D"/>
    <w:rsid w:val="006663A3"/>
    <w:rsid w:val="00674322"/>
    <w:rsid w:val="0068554E"/>
    <w:rsid w:val="00692967"/>
    <w:rsid w:val="006A03DE"/>
    <w:rsid w:val="006A05C3"/>
    <w:rsid w:val="006A1D27"/>
    <w:rsid w:val="006A536E"/>
    <w:rsid w:val="006B5BDD"/>
    <w:rsid w:val="006D7A15"/>
    <w:rsid w:val="00714A1B"/>
    <w:rsid w:val="00744C58"/>
    <w:rsid w:val="00784DE8"/>
    <w:rsid w:val="007A0B10"/>
    <w:rsid w:val="007B2B93"/>
    <w:rsid w:val="007B5CA5"/>
    <w:rsid w:val="007C0F14"/>
    <w:rsid w:val="007D54EB"/>
    <w:rsid w:val="007E5F2D"/>
    <w:rsid w:val="00803FE3"/>
    <w:rsid w:val="00835022"/>
    <w:rsid w:val="00837A7A"/>
    <w:rsid w:val="00837CE6"/>
    <w:rsid w:val="008454D0"/>
    <w:rsid w:val="008618E9"/>
    <w:rsid w:val="00863DDC"/>
    <w:rsid w:val="00874FC9"/>
    <w:rsid w:val="0088005A"/>
    <w:rsid w:val="00892CA6"/>
    <w:rsid w:val="0089316E"/>
    <w:rsid w:val="008A49D6"/>
    <w:rsid w:val="008B787F"/>
    <w:rsid w:val="00903665"/>
    <w:rsid w:val="00924CF4"/>
    <w:rsid w:val="00951BA7"/>
    <w:rsid w:val="0097552C"/>
    <w:rsid w:val="00993E85"/>
    <w:rsid w:val="009A3149"/>
    <w:rsid w:val="009B055E"/>
    <w:rsid w:val="009B4600"/>
    <w:rsid w:val="009C3B18"/>
    <w:rsid w:val="009C5110"/>
    <w:rsid w:val="009E7B4D"/>
    <w:rsid w:val="009F4524"/>
    <w:rsid w:val="00A40232"/>
    <w:rsid w:val="00A50B77"/>
    <w:rsid w:val="00A82D52"/>
    <w:rsid w:val="00A936AC"/>
    <w:rsid w:val="00AB0551"/>
    <w:rsid w:val="00AD2C06"/>
    <w:rsid w:val="00AE074B"/>
    <w:rsid w:val="00AF2A7C"/>
    <w:rsid w:val="00AF77EA"/>
    <w:rsid w:val="00B15CE7"/>
    <w:rsid w:val="00B413D3"/>
    <w:rsid w:val="00B4161E"/>
    <w:rsid w:val="00B47E2C"/>
    <w:rsid w:val="00B52665"/>
    <w:rsid w:val="00B52686"/>
    <w:rsid w:val="00B66C65"/>
    <w:rsid w:val="00B967E0"/>
    <w:rsid w:val="00BB02CC"/>
    <w:rsid w:val="00BB7BAC"/>
    <w:rsid w:val="00BF339F"/>
    <w:rsid w:val="00C02D4B"/>
    <w:rsid w:val="00C1535B"/>
    <w:rsid w:val="00C40829"/>
    <w:rsid w:val="00C424C4"/>
    <w:rsid w:val="00C45AC3"/>
    <w:rsid w:val="00C55826"/>
    <w:rsid w:val="00C60A72"/>
    <w:rsid w:val="00C64B7F"/>
    <w:rsid w:val="00C71997"/>
    <w:rsid w:val="00C80BE0"/>
    <w:rsid w:val="00C87B1A"/>
    <w:rsid w:val="00C9616D"/>
    <w:rsid w:val="00CA4B1F"/>
    <w:rsid w:val="00CB0DB5"/>
    <w:rsid w:val="00CF74B1"/>
    <w:rsid w:val="00D00015"/>
    <w:rsid w:val="00D02366"/>
    <w:rsid w:val="00D25D81"/>
    <w:rsid w:val="00D33F3C"/>
    <w:rsid w:val="00D91D97"/>
    <w:rsid w:val="00DA7B67"/>
    <w:rsid w:val="00DA7EFF"/>
    <w:rsid w:val="00DF00B8"/>
    <w:rsid w:val="00E13790"/>
    <w:rsid w:val="00E24FC7"/>
    <w:rsid w:val="00E35F25"/>
    <w:rsid w:val="00E516D0"/>
    <w:rsid w:val="00E73680"/>
    <w:rsid w:val="00E754F8"/>
    <w:rsid w:val="00E81535"/>
    <w:rsid w:val="00E87639"/>
    <w:rsid w:val="00EA0BC4"/>
    <w:rsid w:val="00EA7610"/>
    <w:rsid w:val="00EC13B9"/>
    <w:rsid w:val="00EE4B70"/>
    <w:rsid w:val="00F069A8"/>
    <w:rsid w:val="00F121C3"/>
    <w:rsid w:val="00F30D39"/>
    <w:rsid w:val="00F46E76"/>
    <w:rsid w:val="00F54009"/>
    <w:rsid w:val="00F83738"/>
    <w:rsid w:val="00F96C63"/>
    <w:rsid w:val="00FA34FC"/>
    <w:rsid w:val="00FC527C"/>
    <w:rsid w:val="00FD43F0"/>
    <w:rsid w:val="00FE0B28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DA6E"/>
  <w15:docId w15:val="{84B0D470-5124-42C0-92F2-0CBE685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E6"/>
    <w:pPr>
      <w:spacing w:after="200" w:line="276" w:lineRule="auto"/>
    </w:pPr>
    <w:rPr>
      <w:rFonts w:ascii="Roboto" w:eastAsia="Roboto" w:hAnsi="Roboto" w:cs="Roboto"/>
      <w:kern w:val="0"/>
      <w:sz w:val="20"/>
      <w:szCs w:val="2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60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73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93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5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B4161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73680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go">
    <w:name w:val="go"/>
    <w:basedOn w:val="Fuentedeprrafopredeter"/>
    <w:rsid w:val="00E73680"/>
  </w:style>
  <w:style w:type="paragraph" w:styleId="Textoindependiente">
    <w:name w:val="Body Text"/>
    <w:basedOn w:val="Normal"/>
    <w:link w:val="TextoindependienteCar"/>
    <w:uiPriority w:val="1"/>
    <w:qFormat/>
    <w:rsid w:val="00E35F2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5F25"/>
    <w:rPr>
      <w:rFonts w:ascii="Arial Narrow" w:eastAsia="Arial Narrow" w:hAnsi="Arial Narrow" w:cs="Arial Narrow"/>
      <w:kern w:val="0"/>
      <w:sz w:val="24"/>
      <w:szCs w:val="24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60A7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5A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AC3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7C7C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7C7C"/>
    <w:rPr>
      <w:rFonts w:ascii="Roboto" w:eastAsia="Roboto" w:hAnsi="Roboto" w:cs="Roboto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A7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abierta002@colombiacr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ransparenciacolombia.org.co/agencia-de-viajes-2/#" TargetMode="External"/><Relationship Id="rId1" Type="http://schemas.openxmlformats.org/officeDocument/2006/relationships/hyperlink" Target="https://portal.iata.org/faq/articles/es/FAQ/Cu%C3%A1les-son-las-ventajas-de-ser-un-agente-acreditado-por-IATA-141581109533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crea.com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99E2-2973-4DDB-B25A-1EAF52DE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1290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DIAZ CASTRO</cp:lastModifiedBy>
  <cp:revision>14</cp:revision>
  <dcterms:created xsi:type="dcterms:W3CDTF">2024-08-09T15:51:00Z</dcterms:created>
  <dcterms:modified xsi:type="dcterms:W3CDTF">2024-08-09T17:00:00Z</dcterms:modified>
</cp:coreProperties>
</file>